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4AFF" w14:textId="1545A27A" w:rsidR="00D14C96" w:rsidRPr="00D14C96" w:rsidRDefault="00D14C96" w:rsidP="00647DDD">
      <w:pPr>
        <w:pBdr>
          <w:bottom w:val="single" w:sz="6" w:space="6" w:color="EEEEEE"/>
        </w:pBdr>
        <w:shd w:val="clear" w:color="auto" w:fill="FFFFFF"/>
        <w:spacing w:before="0" w:after="270" w:line="240" w:lineRule="auto"/>
        <w:jc w:val="center"/>
        <w:outlineLvl w:val="0"/>
        <w:rPr>
          <w:rFonts w:ascii="Open Sans" w:eastAsia="Times New Roman" w:hAnsi="Open Sans" w:cs="Open Sans"/>
          <w:color w:val="555555"/>
          <w:kern w:val="36"/>
          <w:sz w:val="39"/>
          <w:szCs w:val="39"/>
          <w:lang w:val="it-IT"/>
        </w:rPr>
      </w:pPr>
      <w:r w:rsidRPr="00D14C96">
        <w:rPr>
          <w:rFonts w:ascii="Open Sans" w:eastAsia="Times New Roman" w:hAnsi="Open Sans" w:cs="Open Sans"/>
          <w:color w:val="555555"/>
          <w:kern w:val="36"/>
          <w:sz w:val="39"/>
          <w:szCs w:val="39"/>
          <w:lang w:val="it-IT"/>
        </w:rPr>
        <w:t>Schede Accertamento Competenze alunni stranieri neoarrivati</w:t>
      </w:r>
      <w:r w:rsidR="00647DDD">
        <w:rPr>
          <w:rFonts w:ascii="Open Sans" w:eastAsia="Times New Roman" w:hAnsi="Open Sans" w:cs="Open Sans"/>
          <w:color w:val="555555"/>
          <w:kern w:val="36"/>
          <w:sz w:val="39"/>
          <w:szCs w:val="39"/>
          <w:lang w:val="it-IT"/>
        </w:rPr>
        <w:t xml:space="preserve"> in lingua madre</w:t>
      </w:r>
    </w:p>
    <w:p w14:paraId="67E7F2C6" w14:textId="6B6E4920" w:rsidR="00D14C96" w:rsidRPr="00D14C96" w:rsidRDefault="00D14C96" w:rsidP="00D14C96">
      <w:pPr>
        <w:shd w:val="clear" w:color="auto" w:fill="FFFFFF"/>
        <w:spacing w:before="0" w:after="135" w:line="240" w:lineRule="auto"/>
        <w:jc w:val="both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 xml:space="preserve">Le schede per l'accertamento delle competenze di alunni stranieri neoarrivati in Italia sono state realizzate nell'ambito del "Lingua, </w:t>
      </w:r>
      <w:proofErr w:type="spellStart"/>
      <w:r w:rsidRPr="00D14C96">
        <w:rPr>
          <w:rFonts w:ascii="Open Sans" w:eastAsia="Times New Roman" w:hAnsi="Open Sans" w:cs="Open Sans"/>
          <w:color w:val="555555"/>
          <w:lang w:val="it-IT"/>
        </w:rPr>
        <w:t>inguaggi</w:t>
      </w:r>
      <w:proofErr w:type="spellEnd"/>
      <w:r w:rsidRPr="00D14C96">
        <w:rPr>
          <w:rFonts w:ascii="Open Sans" w:eastAsia="Times New Roman" w:hAnsi="Open Sans" w:cs="Open Sans"/>
          <w:color w:val="555555"/>
          <w:lang w:val="it-IT"/>
        </w:rPr>
        <w:t xml:space="preserve">, Nuovi Cittadini" finanziato da Unione Europea e Ministero dell'Interno nell'ambito dei Fondi Europei per l'Integrazione (azione 2 Progetti Giovanili) e realizzato </w:t>
      </w:r>
      <w:proofErr w:type="spellStart"/>
      <w:r w:rsidRPr="00D14C96">
        <w:rPr>
          <w:rFonts w:ascii="Open Sans" w:eastAsia="Times New Roman" w:hAnsi="Open Sans" w:cs="Open Sans"/>
          <w:color w:val="555555"/>
          <w:lang w:val="it-IT"/>
        </w:rPr>
        <w:t>nell'a.s.</w:t>
      </w:r>
      <w:proofErr w:type="spellEnd"/>
      <w:r w:rsidRPr="00D14C96">
        <w:rPr>
          <w:rFonts w:ascii="Open Sans" w:eastAsia="Times New Roman" w:hAnsi="Open Sans" w:cs="Open Sans"/>
          <w:color w:val="555555"/>
          <w:lang w:val="it-IT"/>
        </w:rPr>
        <w:t xml:space="preserve"> 2011-2012 con gli Istituti Scolastici della zona socio sanitaria Fiorentina Sud Est.</w:t>
      </w:r>
      <w:r>
        <w:rPr>
          <w:rFonts w:ascii="Open Sans" w:eastAsia="Times New Roman" w:hAnsi="Open Sans" w:cs="Open Sans"/>
          <w:color w:val="555555"/>
          <w:lang w:val="it-IT"/>
        </w:rPr>
        <w:t xml:space="preserve"> Sono scaricabili al seguente link </w:t>
      </w:r>
      <w:hyperlink r:id="rId4" w:history="1">
        <w:r w:rsidRPr="00735FEB">
          <w:rPr>
            <w:rStyle w:val="Collegamentoipertestuale"/>
            <w:rFonts w:ascii="Open Sans" w:eastAsia="Times New Roman" w:hAnsi="Open Sans" w:cs="Open Sans"/>
            <w:lang w:val="it-IT"/>
          </w:rPr>
          <w:t>https://www.comune.pontassieve.fi.it/centro-interculturale/schede-accertamento-competenze-alunni-stranieri-neoarrivati</w:t>
        </w:r>
      </w:hyperlink>
      <w:r>
        <w:rPr>
          <w:rFonts w:ascii="Open Sans" w:eastAsia="Times New Roman" w:hAnsi="Open Sans" w:cs="Open Sans"/>
          <w:color w:val="555555"/>
          <w:lang w:val="it-IT"/>
        </w:rPr>
        <w:t xml:space="preserve">. </w:t>
      </w:r>
    </w:p>
    <w:p w14:paraId="2D15A83A" w14:textId="2937B65E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 Il materiale, rivolto ad alunni stranieri neoarrivati in Italia della scuola secondaria di I grado, è stato elaborato da un gruppo di docenti coordinato dal Centro Interculturale con la duplice finalità di:</w:t>
      </w:r>
    </w:p>
    <w:p w14:paraId="32E388CC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 - rilevare le competenze e conoscenze in ingresso;</w:t>
      </w:r>
    </w:p>
    <w:p w14:paraId="5E03B7C6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 - orientare la programmazione dei primi mesi di scuola</w:t>
      </w:r>
    </w:p>
    <w:p w14:paraId="6D53767D" w14:textId="65711987" w:rsid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Le schede, redatte in 8 lingue, saranno somministrate in lingua madre da mediatori linguistico culturali che affiancheranno la Commissione Accoglienza.</w:t>
      </w:r>
      <w:r>
        <w:rPr>
          <w:rFonts w:ascii="Open Sans" w:eastAsia="Times New Roman" w:hAnsi="Open Sans" w:cs="Open Sans"/>
          <w:color w:val="555555"/>
          <w:lang w:val="it-IT"/>
        </w:rPr>
        <w:t xml:space="preserve"> </w:t>
      </w:r>
      <w:r w:rsidRPr="00D14C96">
        <w:rPr>
          <w:rFonts w:ascii="Open Sans" w:eastAsia="Times New Roman" w:hAnsi="Open Sans" w:cs="Open Sans"/>
          <w:color w:val="555555"/>
          <w:lang w:val="it-IT"/>
        </w:rPr>
        <w:t> </w:t>
      </w:r>
    </w:p>
    <w:p w14:paraId="6F5ECA57" w14:textId="3D472496" w:rsidR="00D14C96" w:rsidRPr="00D14C96" w:rsidRDefault="00D14C96" w:rsidP="00D14C96">
      <w:pPr>
        <w:shd w:val="clear" w:color="auto" w:fill="FFFFFF"/>
        <w:spacing w:before="0" w:after="135" w:line="338" w:lineRule="atLeast"/>
        <w:jc w:val="both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Il materiale, redatto in 8 lingue, è organizzato in:</w:t>
      </w:r>
    </w:p>
    <w:p w14:paraId="22855C26" w14:textId="77777777" w:rsidR="00D14C96" w:rsidRPr="00D14C96" w:rsidRDefault="00D14C96" w:rsidP="00D14C96">
      <w:pPr>
        <w:shd w:val="clear" w:color="auto" w:fill="FFFFFF"/>
        <w:spacing w:before="0" w:after="135" w:line="338" w:lineRule="atLeast"/>
        <w:jc w:val="both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SCHEDE RILEVAZIONE COMPETENZE PRIMO COLLOQUIO:</w:t>
      </w:r>
    </w:p>
    <w:p w14:paraId="712CF10C" w14:textId="77777777" w:rsidR="00D14C96" w:rsidRPr="00D14C96" w:rsidRDefault="00D14C96" w:rsidP="00D14C96">
      <w:pPr>
        <w:shd w:val="clear" w:color="auto" w:fill="FFFFFF"/>
        <w:spacing w:before="0" w:after="135" w:line="338" w:lineRule="atLeast"/>
        <w:jc w:val="both"/>
        <w:rPr>
          <w:rFonts w:ascii="Open Sans" w:eastAsia="Times New Roman" w:hAnsi="Open Sans" w:cs="Open Sans"/>
          <w:color w:val="555555"/>
          <w:lang w:val="it-IT"/>
        </w:rPr>
      </w:pPr>
      <w:hyperlink r:id="rId5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Prove ingresso area linguistica: valutazione</w:t>
        </w:r>
      </w:hyperlink>
    </w:p>
    <w:p w14:paraId="642851FE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6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prove i</w:t>
        </w:r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ngresso ambito logico matematico I</w:t>
        </w:r>
      </w:hyperlink>
    </w:p>
    <w:p w14:paraId="79DE6831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7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prove ingresso ambito logico matematico II</w:t>
        </w:r>
      </w:hyperlink>
    </w:p>
    <w:p w14:paraId="645027B8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8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prove ingresso ambito logico matematico III</w:t>
        </w:r>
      </w:hyperlink>
    </w:p>
    <w:p w14:paraId="7210AADD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9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prove ingresso ambito logico matematico I secondaria II grado</w:t>
        </w:r>
      </w:hyperlink>
    </w:p>
    <w:p w14:paraId="0477C525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0" w:history="1">
        <w:r w:rsidRPr="00D14C96">
          <w:rPr>
            <w:rFonts w:ascii="Open Sans" w:eastAsia="Times New Roman" w:hAnsi="Open Sans" w:cs="Open Sans"/>
            <w:color w:val="002D48"/>
            <w:u w:val="single"/>
            <w:lang w:val="it-IT"/>
          </w:rPr>
          <w:t>soluzioni prove i</w:t>
        </w:r>
        <w:r w:rsidRPr="00D14C96">
          <w:rPr>
            <w:rFonts w:ascii="Open Sans" w:eastAsia="Times New Roman" w:hAnsi="Open Sans" w:cs="Open Sans"/>
            <w:color w:val="002D48"/>
            <w:u w:val="single"/>
            <w:lang w:val="it-IT"/>
          </w:rPr>
          <w:t>ngresso orientamento nel tempo</w:t>
        </w:r>
      </w:hyperlink>
    </w:p>
    <w:p w14:paraId="01D2BC71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1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prove ingresso orientamento nello spazio</w:t>
        </w:r>
      </w:hyperlink>
    </w:p>
    <w:p w14:paraId="3350B61B" w14:textId="77777777" w:rsid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 </w:t>
      </w:r>
    </w:p>
    <w:p w14:paraId="1FABBFD1" w14:textId="3295AE69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SCHEDE APPROFONDIMENTO:</w:t>
      </w:r>
    </w:p>
    <w:p w14:paraId="320EFAF0" w14:textId="3BD6717B" w:rsidR="00D14C96" w:rsidRPr="00D14C96" w:rsidRDefault="00D14C96" w:rsidP="00D14C96">
      <w:pPr>
        <w:shd w:val="clear" w:color="auto" w:fill="FFFFFF"/>
        <w:spacing w:before="0" w:after="135" w:line="338" w:lineRule="atLeast"/>
        <w:jc w:val="both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 </w:t>
      </w:r>
      <w:hyperlink r:id="rId12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Linee guida approfondimento area linguistica</w:t>
        </w:r>
      </w:hyperlink>
    </w:p>
    <w:p w14:paraId="03BD9D13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3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approfondimento area linguistica</w:t>
        </w:r>
      </w:hyperlink>
    </w:p>
    <w:p w14:paraId="1C3F8F80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4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Valutazione finale area linguistica</w:t>
        </w:r>
      </w:hyperlink>
    </w:p>
    <w:p w14:paraId="4D70D610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5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approfondimento ambito logico matematico I</w:t>
        </w:r>
      </w:hyperlink>
    </w:p>
    <w:p w14:paraId="7CD0FA9D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6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approfondimento ambito logico matematico II</w:t>
        </w:r>
      </w:hyperlink>
    </w:p>
    <w:p w14:paraId="782B569D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7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approfondimento ambito logico matematico III</w:t>
        </w:r>
      </w:hyperlink>
    </w:p>
    <w:p w14:paraId="31A6AF5C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8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approfondimento orientamento nel tempo</w:t>
        </w:r>
      </w:hyperlink>
    </w:p>
    <w:p w14:paraId="62A22CAB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19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soluzioni approfondimento orientamento nello spazio</w:t>
        </w:r>
      </w:hyperlink>
    </w:p>
    <w:p w14:paraId="02988A92" w14:textId="3EED386B" w:rsid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 </w:t>
      </w:r>
    </w:p>
    <w:p w14:paraId="2D9A3BB0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</w:p>
    <w:p w14:paraId="3108AC7A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lastRenderedPageBreak/>
        <w:t>LE SCHEDE, SUDDIVISE IN PROVE INGRESSO E APPROFONDIMENTO, SONO REDATTE NELLE LINGUE:</w:t>
      </w:r>
    </w:p>
    <w:p w14:paraId="34CD88F5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20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schede bilingue</w:t>
        </w:r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 xml:space="preserve"> italiano-albanese</w:t>
        </w:r>
      </w:hyperlink>
    </w:p>
    <w:p w14:paraId="4C0BF82B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21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schede bilingue italiano-arabo</w:t>
        </w:r>
      </w:hyperlink>
    </w:p>
    <w:p w14:paraId="023C694F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22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schede bilingue italiano-cinese</w:t>
        </w:r>
      </w:hyperlink>
    </w:p>
    <w:p w14:paraId="62A0AD73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23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schede bilingue italiano-francese</w:t>
        </w:r>
      </w:hyperlink>
    </w:p>
    <w:p w14:paraId="492B05FF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24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schede bilingue italiano-inglese</w:t>
        </w:r>
      </w:hyperlink>
    </w:p>
    <w:p w14:paraId="1291E3BA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25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schede bilingue italiano-rumeno</w:t>
        </w:r>
      </w:hyperlink>
    </w:p>
    <w:p w14:paraId="01DA131E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26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schede bilingue italiano-russo</w:t>
        </w:r>
      </w:hyperlink>
    </w:p>
    <w:p w14:paraId="261C1062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hyperlink r:id="rId27" w:history="1">
        <w:r w:rsidRPr="00D14C96">
          <w:rPr>
            <w:rFonts w:ascii="Open Sans" w:eastAsia="Times New Roman" w:hAnsi="Open Sans" w:cs="Open Sans"/>
            <w:color w:val="BC0022"/>
            <w:u w:val="single"/>
            <w:lang w:val="it-IT"/>
          </w:rPr>
          <w:t>schede bilingue italiano-spagnolo</w:t>
        </w:r>
      </w:hyperlink>
    </w:p>
    <w:p w14:paraId="1DAD5912" w14:textId="77777777" w:rsidR="00D14C96" w:rsidRPr="00D14C96" w:rsidRDefault="00D14C96" w:rsidP="00D14C96">
      <w:pPr>
        <w:shd w:val="clear" w:color="auto" w:fill="FFFFFF"/>
        <w:spacing w:before="0" w:after="135" w:line="240" w:lineRule="auto"/>
        <w:rPr>
          <w:rFonts w:ascii="Open Sans" w:eastAsia="Times New Roman" w:hAnsi="Open Sans" w:cs="Open Sans"/>
          <w:color w:val="555555"/>
          <w:lang w:val="it-IT"/>
        </w:rPr>
      </w:pPr>
      <w:r w:rsidRPr="00D14C96">
        <w:rPr>
          <w:rFonts w:ascii="Open Sans" w:eastAsia="Times New Roman" w:hAnsi="Open Sans" w:cs="Open Sans"/>
          <w:color w:val="555555"/>
          <w:lang w:val="it-IT"/>
        </w:rPr>
        <w:t> </w:t>
      </w:r>
    </w:p>
    <w:sectPr w:rsidR="00D14C96" w:rsidRPr="00D1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96"/>
    <w:rsid w:val="00647DDD"/>
    <w:rsid w:val="00D14C96"/>
    <w:rsid w:val="00DE673F"/>
    <w:rsid w:val="00E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8823"/>
  <w15:chartTrackingRefBased/>
  <w15:docId w15:val="{B4B6FE06-2777-462F-B8B5-C98671F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EB0"/>
  </w:style>
  <w:style w:type="paragraph" w:styleId="Titolo1">
    <w:name w:val="heading 1"/>
    <w:basedOn w:val="Normale"/>
    <w:next w:val="Normale"/>
    <w:link w:val="Titolo1Carattere"/>
    <w:uiPriority w:val="9"/>
    <w:qFormat/>
    <w:rsid w:val="00E81EB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1EB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1EB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EB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1EB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1EB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1EB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1E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1E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1EB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1EB0"/>
    <w:rPr>
      <w:caps/>
      <w:spacing w:val="15"/>
      <w:shd w:val="clear" w:color="auto" w:fill="D9E2F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1EB0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EB0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1EB0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1EB0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1EB0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1EB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1EB0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1EB0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1EB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81EB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1E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1EB0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E81EB0"/>
    <w:rPr>
      <w:b/>
      <w:bCs/>
    </w:rPr>
  </w:style>
  <w:style w:type="character" w:styleId="Enfasicorsivo">
    <w:name w:val="Emphasis"/>
    <w:uiPriority w:val="20"/>
    <w:qFormat/>
    <w:rsid w:val="00E81EB0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E81E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1EB0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1EB0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1EB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1EB0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E81EB0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E81EB0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E81EB0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E81EB0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E81EB0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1EB0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D14C9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14C9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pontassieve.fi.it/file/14124/download?token=KFk--Nf3" TargetMode="External"/><Relationship Id="rId13" Type="http://schemas.openxmlformats.org/officeDocument/2006/relationships/hyperlink" Target="https://www.comune.pontassieve.fi.it/file/14119/download?token=FPRRVxkr" TargetMode="External"/><Relationship Id="rId18" Type="http://schemas.openxmlformats.org/officeDocument/2006/relationships/hyperlink" Target="https://www.comune.pontassieve.fi.it/file/14130/download?token=aP54TnYD" TargetMode="External"/><Relationship Id="rId26" Type="http://schemas.openxmlformats.org/officeDocument/2006/relationships/hyperlink" Target="https://www.comune.pontassieve.fi.it/node/119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mune.pontassieve.fi.it/node/11910" TargetMode="External"/><Relationship Id="rId7" Type="http://schemas.openxmlformats.org/officeDocument/2006/relationships/hyperlink" Target="https://www.comune.pontassieve.fi.it/file/14123/download?token=WNqDxNhE" TargetMode="External"/><Relationship Id="rId12" Type="http://schemas.openxmlformats.org/officeDocument/2006/relationships/hyperlink" Target="https://www.comune.pontassieve.fi.it/file/14118/download?token=2kinLOgK" TargetMode="External"/><Relationship Id="rId17" Type="http://schemas.openxmlformats.org/officeDocument/2006/relationships/hyperlink" Target="https://www.comune.pontassieve.fi.it/file/14128/download?token=Bg8Oo-j_" TargetMode="External"/><Relationship Id="rId25" Type="http://schemas.openxmlformats.org/officeDocument/2006/relationships/hyperlink" Target="https://www.comune.pontassieve.fi.it/node/119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mune.pontassieve.fi.it/file/14127/download?token=T53Uy83o" TargetMode="External"/><Relationship Id="rId20" Type="http://schemas.openxmlformats.org/officeDocument/2006/relationships/hyperlink" Target="https://www.comune.pontassieve.fi.it/node/1190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mune.pontassieve.fi.it/file/14122/download?token=-06GHXxu" TargetMode="External"/><Relationship Id="rId11" Type="http://schemas.openxmlformats.org/officeDocument/2006/relationships/hyperlink" Target="https://www.comune.pontassieve.fi.it/file/14131/download?token=Eo2dQGlV" TargetMode="External"/><Relationship Id="rId24" Type="http://schemas.openxmlformats.org/officeDocument/2006/relationships/hyperlink" Target="https://www.comune.pontassieve.fi.it/node/11913" TargetMode="External"/><Relationship Id="rId5" Type="http://schemas.openxmlformats.org/officeDocument/2006/relationships/hyperlink" Target="https://www.comune.pontassieve.fi.it/file/14120/download?token=d7gAZZGQ" TargetMode="External"/><Relationship Id="rId15" Type="http://schemas.openxmlformats.org/officeDocument/2006/relationships/hyperlink" Target="https://www.comune.pontassieve.fi.it/file/14126/download?token=FN9R6lTR" TargetMode="External"/><Relationship Id="rId23" Type="http://schemas.openxmlformats.org/officeDocument/2006/relationships/hyperlink" Target="https://www.comune.pontassieve.fi.it/node/119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mune.pontassieve.fi.it/file/14129/download?token=Ty_wschg" TargetMode="External"/><Relationship Id="rId19" Type="http://schemas.openxmlformats.org/officeDocument/2006/relationships/hyperlink" Target="https://www.comune.pontassieve.fi.it/file/14132/download?token=MypWW7iY" TargetMode="External"/><Relationship Id="rId4" Type="http://schemas.openxmlformats.org/officeDocument/2006/relationships/hyperlink" Target="https://www.comune.pontassieve.fi.it/centro-interculturale/schede-accertamento-competenze-alunni-stranieri-neoarrivati" TargetMode="External"/><Relationship Id="rId9" Type="http://schemas.openxmlformats.org/officeDocument/2006/relationships/hyperlink" Target="https://www.comune.pontassieve.fi.it/file/14125/download?token=7XhbkI8F" TargetMode="External"/><Relationship Id="rId14" Type="http://schemas.openxmlformats.org/officeDocument/2006/relationships/hyperlink" Target="https://www.comune.pontassieve.fi.it/file/14120/download?token=d7gAZZGQ" TargetMode="External"/><Relationship Id="rId22" Type="http://schemas.openxmlformats.org/officeDocument/2006/relationships/hyperlink" Target="https://www.comune.pontassieve.fi.it/node/11911" TargetMode="External"/><Relationship Id="rId27" Type="http://schemas.openxmlformats.org/officeDocument/2006/relationships/hyperlink" Target="https://www.comune.pontassieve.fi.it/node/1191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borri</dc:creator>
  <cp:keywords/>
  <dc:description/>
  <cp:lastModifiedBy>alessandro borri</cp:lastModifiedBy>
  <cp:revision>1</cp:revision>
  <dcterms:created xsi:type="dcterms:W3CDTF">2022-12-20T13:11:00Z</dcterms:created>
  <dcterms:modified xsi:type="dcterms:W3CDTF">2022-12-20T13:26:00Z</dcterms:modified>
</cp:coreProperties>
</file>